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CA640E" w:rsidRDefault="009664FD" w:rsidP="00CA640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215DEE9-ACD4-4E47-9068-8ED98A033B7D" style="width:450.75pt;height:395.25pt">
            <v:imagedata r:id="rId7" o:title=""/>
          </v:shape>
        </w:pict>
      </w:r>
    </w:p>
    <w:p w:rsidR="002402D9" w:rsidRPr="00CA640E" w:rsidRDefault="002402D9">
      <w:pPr>
        <w:sectPr w:rsidR="002402D9" w:rsidRPr="00CA640E" w:rsidSect="00F1371B">
          <w:footerReference w:type="default" r:id="rId8"/>
          <w:pgSz w:w="11907" w:h="16839"/>
          <w:pgMar w:top="1134" w:right="1417" w:bottom="1134" w:left="1417" w:header="709" w:footer="709" w:gutter="0"/>
          <w:pgNumType w:start="0"/>
          <w:cols w:space="720"/>
          <w:docGrid w:linePitch="360"/>
        </w:sectPr>
      </w:pPr>
    </w:p>
    <w:p w:rsidR="002402D9" w:rsidRPr="00CA640E" w:rsidRDefault="00CA640E" w:rsidP="00CA640E">
      <w:pPr>
        <w:pStyle w:val="Typedudocument"/>
      </w:pPr>
      <w:r w:rsidRPr="00CA640E">
        <w:lastRenderedPageBreak/>
        <w:t>KOMISIJAS ĪSTENOŠANAS LĒMUMS (ES) …/..</w:t>
      </w:r>
    </w:p>
    <w:p w:rsidR="002402D9" w:rsidRPr="00CA640E" w:rsidRDefault="00CA640E" w:rsidP="00CA640E">
      <w:pPr>
        <w:pStyle w:val="Datedadoption"/>
      </w:pPr>
      <w:r w:rsidRPr="00CA640E">
        <w:t>(</w:t>
      </w:r>
      <w:r w:rsidRPr="00CA640E">
        <w:rPr>
          <w:rStyle w:val="Marker2"/>
        </w:rPr>
        <w:t>XXX</w:t>
      </w:r>
      <w:r w:rsidRPr="00CA640E">
        <w:t>)</w:t>
      </w:r>
    </w:p>
    <w:p w:rsidR="002402D9" w:rsidRPr="00CA640E" w:rsidRDefault="00CA640E" w:rsidP="00CA640E">
      <w:pPr>
        <w:pStyle w:val="Titreobjet"/>
      </w:pPr>
      <w:r w:rsidRPr="00CA640E">
        <w:t>par līguma standartklauzulām starp pārziņiem un apstrādātājiem saskaņā ar Eiropas Parlamenta un Padomes Regulas (ES) 2016/679 28. panta 7. punktu un Eiropas Parlamenta un Padomes Regulas (ES) 2018/1725 29. panta 7. punktu</w:t>
      </w:r>
    </w:p>
    <w:p w:rsidR="002402D9" w:rsidRPr="00CA640E" w:rsidRDefault="00CA640E" w:rsidP="00CA640E">
      <w:pPr>
        <w:pStyle w:val="IntrtEEE"/>
      </w:pPr>
      <w:r w:rsidRPr="00CA640E">
        <w:t>(Dokuments attiecas uz EEZ)</w:t>
      </w:r>
    </w:p>
    <w:p w:rsidR="002402D9" w:rsidRPr="00CA640E" w:rsidRDefault="002402D9" w:rsidP="002402D9">
      <w:pPr>
        <w:pStyle w:val="Institutionquiagit"/>
      </w:pPr>
      <w:r w:rsidRPr="00CA640E">
        <w:t>EIROPAS KOMISIJA,</w:t>
      </w:r>
    </w:p>
    <w:p w:rsidR="002402D9" w:rsidRPr="00CA640E" w:rsidRDefault="002402D9" w:rsidP="002402D9">
      <w:r w:rsidRPr="00CA640E">
        <w:rPr>
          <w:color w:val="000000"/>
        </w:rPr>
        <w:t>ņemot vērā Līgumu par Eiropas Savienības darbību</w:t>
      </w:r>
      <w:r w:rsidRPr="00CA640E">
        <w:t>,</w:t>
      </w:r>
    </w:p>
    <w:p w:rsidR="002402D9" w:rsidRPr="00CA640E" w:rsidRDefault="002402D9" w:rsidP="002402D9">
      <w:r w:rsidRPr="00CA640E">
        <w:t>ņemot vērā Eiropas Parlamenta un Padomes Regulu (ES) 2016/679 (2016. gada 27. aprīlis) par fizisku personu aizsardzību attiecībā uz personas datu apstrādi un šādu datu brīvu apriti un ar ko atceļ Direktīvu 95/46/EK (Vispārīgā datu aizsardzības regula)</w:t>
      </w:r>
      <w:r w:rsidRPr="00CA640E">
        <w:rPr>
          <w:rStyle w:val="FootnoteReference"/>
        </w:rPr>
        <w:footnoteReference w:id="1"/>
      </w:r>
      <w:r w:rsidRPr="00CA640E">
        <w:t xml:space="preserve">, un jo īpaši tās 28. panta 7. punktu, </w:t>
      </w:r>
    </w:p>
    <w:p w:rsidR="002402D9" w:rsidRPr="00CA640E" w:rsidRDefault="002402D9" w:rsidP="002402D9">
      <w:r w:rsidRPr="00CA640E">
        <w:t>ņemot vērā Eiropas Parlamenta un Padomes Regulu (ES) 2018/1725 (2018. gada 23. oktobris) par fizisku personu aizsardzību attiecībā uz personas datu apstrādi Savienības iestādēs, struktūrās, birojos un aģentūrās un par šādu datu brīvu apriti un ar ko atceļ Regulu (EK) Nr. 45/2001 un Lēmumu Nr. 1247/2002/EK (“ESDAR”)</w:t>
      </w:r>
      <w:r w:rsidRPr="00CA640E">
        <w:rPr>
          <w:rStyle w:val="FootnoteReference"/>
        </w:rPr>
        <w:footnoteReference w:id="2"/>
      </w:r>
      <w:r w:rsidRPr="00CA640E">
        <w:t>, un jo īpaši tās 29. panta 7. punktu,</w:t>
      </w:r>
    </w:p>
    <w:p w:rsidR="002402D9" w:rsidRPr="00CA640E" w:rsidRDefault="002402D9" w:rsidP="002402D9">
      <w:r w:rsidRPr="00CA640E">
        <w:t>tā kā:</w:t>
      </w:r>
    </w:p>
    <w:p w:rsidR="002402D9" w:rsidRPr="00CA640E" w:rsidRDefault="002402D9" w:rsidP="00364079">
      <w:pPr>
        <w:pStyle w:val="Considrant"/>
        <w:numPr>
          <w:ilvl w:val="0"/>
          <w:numId w:val="1"/>
        </w:numPr>
      </w:pPr>
      <w:r w:rsidRPr="00CA640E">
        <w:t>pārziņa un apstrādātāja jēdzieniem ir izšķiroša nozīme Regulas (ES) 2016/679 un Regulas (ES) 2018/1725 piemērošanā. Pārzinis ir fiziska vai juridiska persona, publiska iestāde, aģentūra vai cita struktūra, kas viena pati vai kopīgi ar citām nosaka personas datu apstrādes nolūkus un līdzekļus. Regulā (ES) 2018/1725 pārzinis ir Savienības iestāde vai struktūra, ģenerāldirektorāts vai jebkura cita organizatoriska vienība, kas viena pati vai kopīgi ar citām nosaka personas datu apstrādes nolūkus un līdzekļus. Ja šādas apstrādes nolūkus un līdzekļus nosaka ar konkrētu Savienības tiesību aktu, Savienība var nodrošināt pārzini vai tā iecelšanas konkrētos kritērijus. Apstrādātājs ir fiziska vai juridiska persona, publiska iestāde, aģentūra vai cita struktūra, kura pārziņa vārdā apstrādā personas datus.</w:t>
      </w:r>
    </w:p>
    <w:p w:rsidR="002402D9" w:rsidRPr="00CA640E" w:rsidRDefault="002402D9" w:rsidP="009237D1">
      <w:pPr>
        <w:pStyle w:val="Considrant"/>
      </w:pPr>
      <w:r w:rsidRPr="00CA640E">
        <w:t xml:space="preserve">Attiecībām starp datu pārziņiem un datu apstrādātājiem, uz kuriem attiecas Regula (ES) 2016/679, arī gadījumos, kad uz tiem attiecas Regula (ES) 2018/1725, būtu jāpiemēro tas pats līguma standartklauzulu kopums. Tas ir tāpēc, ka, lai nodrošinātu saskaņotu pieeju personas datu aizsardzībai visā Savienībā un personas datu brīvai apritei Savienībā, datu aizsardzības noteikumi Regulā (ES) 2016/679, kas piemērojami publiskajam sektoram dalībvalstīs, un datu aizsardzības noteikumi Regulā (ES) 2018/1725, kuri piemērojami Savienības iestādēm, struktūrām, birojiem un aģentūrām, ciktāl iespējams, ir savstarpēji saskaņoti. </w:t>
      </w:r>
    </w:p>
    <w:p w:rsidR="002402D9" w:rsidRPr="00CA640E" w:rsidRDefault="002402D9" w:rsidP="002402D9">
      <w:pPr>
        <w:pStyle w:val="Considrant"/>
      </w:pPr>
      <w:r w:rsidRPr="00CA640E">
        <w:t xml:space="preserve">Lai nodrošinātu atbilstību Regulas (ES) 2016/679 un Regulas (ES) 2018/1725 prasībām, uzticot apstrādātājam apstrādes darbības, pārzinim būtu jāizmanto tikai tādi apstrādātāji, kas sniedz pietiekamas garantijas, jo īpaši attiecībā uz ekspertu </w:t>
      </w:r>
      <w:r w:rsidRPr="00CA640E">
        <w:lastRenderedPageBreak/>
        <w:t>zināšanām, uzticamību un resursiem, lai īstenotu tehniskos un organizatoriskos pasākumus, kuri atbilst Regulas (ES) 2016/679 un Regulas (ES) 2018/1725 prasībām, tostarp attiecībā uz apstrādes drošību.</w:t>
      </w:r>
    </w:p>
    <w:p w:rsidR="002402D9" w:rsidRPr="00CA640E" w:rsidRDefault="002402D9" w:rsidP="002402D9">
      <w:pPr>
        <w:pStyle w:val="Considrant"/>
      </w:pPr>
      <w:r w:rsidRPr="00CA640E">
        <w:t>Apstrādi, ko veic apstrādātājs, reglamentē ar līgumu vai citu juridisku aktu saskaņā ar Savienības vai dalībvalsts tiesību aktiem, kurš ir saistošs apstrādātājam attiecībā uz pārzini un kurā izklāstīti Regulas (ES) 2016/679 28. panta 3. un 4. punktā vai Regulas (ES) 2018/1725 29. panta 3. un 4. punktā uzskaitītie elementi. Minēto līgumu vai aktu sagatavo rakstiski, t. sk. elektroniskā formātā.</w:t>
      </w:r>
    </w:p>
    <w:p w:rsidR="002402D9" w:rsidRPr="00CA640E" w:rsidRDefault="002402D9" w:rsidP="002402D9">
      <w:pPr>
        <w:pStyle w:val="Considrant"/>
      </w:pPr>
      <w:r w:rsidRPr="00CA640E">
        <w:t xml:space="preserve">Saskaņā ar Regulas (ES) 2016/679 28. panta 6. punktu un Regulas (ES) 2018/1725 29. panta 6. punktu pārzinis un apstrādātājs var izvēlēties risināt sarunas par atsevišķu līgumu, kurā ietverti obligātie elementi, kas izklāstīti attiecīgi Regulas (ES) 2016/679 28. panta 3. un 4. punktā vai Regulas (ES) 2018/1725 29. panta 3. un 4. punktā, vai pilnībā vai daļēji izmantot līguma standartklauzulas, kuras Komisija pieņēmusi saskaņā ar Regulas (ES) 2016/679 28. panta 7. punktu un Regulas (ES) 2018/1725 29. panta 7. punktu. </w:t>
      </w:r>
    </w:p>
    <w:p w:rsidR="002402D9" w:rsidRPr="00CA640E" w:rsidRDefault="002402D9" w:rsidP="002402D9">
      <w:pPr>
        <w:pStyle w:val="Considrant"/>
      </w:pPr>
      <w:r w:rsidRPr="00CA640E">
        <w:t>Pārzinim un apstrādātājam vajadzētu būt iespējai iekļaut šajā lēmumā minētās līguma standartklauzulas plašākā līgumā un pievienot citas klauzulas vai papildu aizsardzības pasākumus ar nosacījumu, ka tās nav tieši vai netieši pretrunā līguma standartklauzulām un neskar datu subjektu pamattiesības vai pamatbrīvības. Līguma standartklauzulu izmantošana notiek neatkarīgi no pārziņa un/vai apstrādātāja līgumsaistībām nodrošināt piemērojamo privilēģiju un imunitātes ievērošanu.</w:t>
      </w:r>
    </w:p>
    <w:p w:rsidR="002402D9" w:rsidRPr="00CA640E" w:rsidRDefault="002402D9" w:rsidP="002402D9">
      <w:pPr>
        <w:pStyle w:val="Considrant"/>
      </w:pPr>
      <w:r w:rsidRPr="00CA640E">
        <w:t xml:space="preserve">Līguma standartklauzulās būtu jāietver gan materiālie, gan procesuālie noteikumi. Saskaņā ar Regulas (ES) 2016/679 28. panta 3. punktu un Regulas (ES) 2018/1725 29. panta 3. punktu līguma standartklauzulās būtu arī jāprasa pārzinim un apstrādātājam noteikt apstrādes priekšmetu un ilgumu, tās raksturu un nolūku, attiecīgo personas datu veidu, datu subjektu kategorijas un pārziņa pienākumus un tiesības. </w:t>
      </w:r>
    </w:p>
    <w:p w:rsidR="002402D9" w:rsidRPr="00CA640E" w:rsidRDefault="002402D9" w:rsidP="002402D9">
      <w:pPr>
        <w:pStyle w:val="Considrant"/>
      </w:pPr>
      <w:r w:rsidRPr="00CA640E">
        <w:t>Saskaņā ar Regulas (ES) 2016/679 28. panta 3. punktu un saskaņā ar Regulas (ES) 2018/1725 29. panta 3. punktu apstrādātājam nekavējoties jāinformē pārzinis, ja apstrādātājs uzskata, ka pārziņa norādījums pārkāpj Regulu (ES) 2016/679 vai Regulu (ES) 2018/1725, vai citus Savienības vai dalībvalstu datu aizsardzības noteikumus.</w:t>
      </w:r>
    </w:p>
    <w:p w:rsidR="002402D9" w:rsidRPr="00CA640E" w:rsidRDefault="005D6D0A" w:rsidP="002402D9">
      <w:pPr>
        <w:pStyle w:val="Considrant"/>
      </w:pPr>
      <w:r w:rsidRPr="00CA640E">
        <w:t xml:space="preserve">Ja apstrādātājs konkrētu darbību veikšanai iesaista citu apstrādātāju, būtu jāpiemēro īpašās prasības, kas minētas Regulas (ES) 2016/679 28. panta 2. un 4. punktā vai Regulas (ES) 2018/1725 29. panta 2. un 4. punktā. Proti, ir vajadzīga iepriekšēja konkrēta vai vispārēja rakstiska atļauja. Neatkarīgi no tā, vai šī iepriekšējā atļauja ir konkrēta vai vispārēja, pirmapstrādātājam būtu jāatjaunina citu pārstrādātāju saraksts. </w:t>
      </w:r>
    </w:p>
    <w:p w:rsidR="002402D9" w:rsidRPr="00CA640E" w:rsidRDefault="002402D9" w:rsidP="002402D9">
      <w:pPr>
        <w:pStyle w:val="Considrant"/>
      </w:pPr>
      <w:r w:rsidRPr="00CA640E">
        <w:t xml:space="preserve">Lai izpildītu Regulas (ES) 2016/679 46. panta 1. punkta prasības, Komisija pieņēma līguma standartklauzulas saskaņā ar Regulas (ES) 2016/679 46. panta 2. punkta c) apakšpunktu. Minētās klauzulas atbilst arī Regulas (ES) 2016/679 28. panta 3. un 4. punkta prasībām attiecībā uz datu nosūtīšanu no pārziņiem, uz kuriem attiecas Regula (ES) 2016/679, apstrādātājiem ārpus minētās regulas teritoriālās piemērošanas jomas vai no apstrādātājiem, uz kuriem attiecas Regula (ES) 2016/679, apakšapstrādātājiem, kuri neietilpst minētās regulas teritoriālajā piemērošanas jomā. Šīs līguma standartklauzulas nevar izmantot kā līguma standartklauzulas Regulas (ES) 2016/679 V nodaļas vajadzībām. </w:t>
      </w:r>
    </w:p>
    <w:p w:rsidR="002402D9" w:rsidRPr="00CA640E" w:rsidRDefault="002402D9" w:rsidP="002402D9">
      <w:pPr>
        <w:pStyle w:val="Considrant"/>
      </w:pPr>
      <w:r w:rsidRPr="00CA640E">
        <w:t>Trešām personām vajadzētu būt iespējai pievienoties līguma standartklauzulām visā līguma darbības ciklā.</w:t>
      </w:r>
    </w:p>
    <w:p w:rsidR="002402D9" w:rsidRPr="00CA640E" w:rsidRDefault="002402D9" w:rsidP="002402D9">
      <w:pPr>
        <w:pStyle w:val="Considrant"/>
      </w:pPr>
      <w:r w:rsidRPr="00CA640E">
        <w:t xml:space="preserve">Līguma standartklauzulu darbība būtu jāizvērtē kā daļa no Regulas (ES) 2016/679 97. pantā minētās periodiskās novērtēšanas. </w:t>
      </w:r>
    </w:p>
    <w:p w:rsidR="002402D9" w:rsidRPr="00CA640E" w:rsidRDefault="00EA7EE3" w:rsidP="00EA7EE3">
      <w:pPr>
        <w:pStyle w:val="Considrant"/>
      </w:pPr>
      <w:r w:rsidRPr="00CA640E">
        <w:t xml:space="preserve"> Saskaņā ar Regulas (ES) 2018/1725 42. panta 1. un 2. punktu notika apspriešanās ar Eiropas Datu aizsardzības uzraudzītāju un Eiropas Datu aizsardzības kolēģiju, un 2021. gada 14. janvārī tika sniegts kopīgs atzinums</w:t>
      </w:r>
      <w:r w:rsidRPr="00CA640E">
        <w:rPr>
          <w:rStyle w:val="FootnoteReference"/>
        </w:rPr>
        <w:footnoteReference w:id="3"/>
      </w:r>
      <w:r w:rsidRPr="00CA640E">
        <w:t>, kas tika ņemts vērā šā lēmuma sagatavošanā.</w:t>
      </w:r>
    </w:p>
    <w:p w:rsidR="002402D9" w:rsidRPr="00CA640E" w:rsidRDefault="002402D9" w:rsidP="002402D9">
      <w:pPr>
        <w:pStyle w:val="Considrant"/>
      </w:pPr>
      <w:r w:rsidRPr="00CA640E">
        <w:t>Šajā lēmumā paredzētie pasākumi ir saskaņā ar atzinumu, ko sniegusi komiteja, kas izveidota saskaņā ar Regulas (ES) 2016/679 93. pantu un Regulas (ES) 2018/1725 96. panta 2. punktu,</w:t>
      </w:r>
    </w:p>
    <w:p w:rsidR="002402D9" w:rsidRPr="00CA640E" w:rsidRDefault="002402D9" w:rsidP="002402D9">
      <w:pPr>
        <w:pStyle w:val="Formuledadoption"/>
      </w:pPr>
      <w:r w:rsidRPr="00CA640E">
        <w:t xml:space="preserve">IR PIEŅĒMUSI ŠO LĒMUMU. </w:t>
      </w:r>
    </w:p>
    <w:p w:rsidR="002402D9" w:rsidRPr="00CA640E" w:rsidRDefault="002402D9" w:rsidP="002402D9">
      <w:pPr>
        <w:pStyle w:val="Titrearticle"/>
      </w:pPr>
      <w:r w:rsidRPr="00CA640E">
        <w:t>1. pants</w:t>
      </w:r>
    </w:p>
    <w:p w:rsidR="002402D9" w:rsidRPr="00CA640E" w:rsidRDefault="002402D9" w:rsidP="002402D9">
      <w:r w:rsidRPr="00CA640E">
        <w:t>Pielikumā izklāstītās līguma standartklauzulas atbilst prasībām attiecībā uz līgumiem starp pārziņiem un apstrādātājiem, kas noteiktas Regulas (ES) 2016/679 28. panta 3. un 4. punktā un Regulas (ES) 2018/1725 29. panta 3. un 4. punktā.</w:t>
      </w:r>
    </w:p>
    <w:p w:rsidR="002402D9" w:rsidRPr="00CA640E" w:rsidRDefault="002402D9" w:rsidP="002402D9">
      <w:pPr>
        <w:pStyle w:val="Titrearticle"/>
      </w:pPr>
      <w:r w:rsidRPr="00CA640E">
        <w:t>2. pants</w:t>
      </w:r>
    </w:p>
    <w:p w:rsidR="002402D9" w:rsidRPr="00CA640E" w:rsidRDefault="002402D9" w:rsidP="002402D9">
      <w:r w:rsidRPr="00CA640E">
        <w:t xml:space="preserve">Pielikumā izklāstītās līguma standartklauzulas var izmantot līgumos starp pārzini un apstrādātāju, kurš pārziņa vārdā apstrādā personas datus. </w:t>
      </w:r>
    </w:p>
    <w:p w:rsidR="002402D9" w:rsidRPr="00CA640E" w:rsidRDefault="002402D9" w:rsidP="002402D9">
      <w:pPr>
        <w:pStyle w:val="Titrearticle"/>
      </w:pPr>
      <w:r w:rsidRPr="00CA640E">
        <w:t>3. pants</w:t>
      </w:r>
    </w:p>
    <w:p w:rsidR="002402D9" w:rsidRPr="00CA640E" w:rsidRDefault="002402D9" w:rsidP="002402D9">
      <w:pPr>
        <w:rPr>
          <w:rFonts w:eastAsia="Calibri"/>
        </w:rPr>
      </w:pPr>
      <w:r w:rsidRPr="00CA640E">
        <w:t xml:space="preserve">Komisija, pamatojoties uz visu pieejamo informāciju, izvērtē pielikumā izklāstīto līguma standartklauzulu praktisko piemērošanu Regulas (ES) 2016/679 97. pantā paredzētās periodiskās novērtēšanas ietvaros. </w:t>
      </w:r>
    </w:p>
    <w:p w:rsidR="002402D9" w:rsidRPr="00CA640E" w:rsidRDefault="002402D9" w:rsidP="002402D9">
      <w:pPr>
        <w:pStyle w:val="Titrearticle"/>
      </w:pPr>
      <w:r w:rsidRPr="00CA640E">
        <w:t>4. pants</w:t>
      </w:r>
    </w:p>
    <w:p w:rsidR="003A69A2" w:rsidRPr="00CA640E" w:rsidRDefault="003A69A2" w:rsidP="00135D70">
      <w:r w:rsidRPr="00CA640E">
        <w:t xml:space="preserve">Šis lēmums stājas spēkā divdesmitajā dienā pēc tā publicēšanas </w:t>
      </w:r>
      <w:r w:rsidRPr="00CA640E">
        <w:rPr>
          <w:i/>
          <w:iCs/>
        </w:rPr>
        <w:t>Eiropas Savienības Oficiālajā Vēstnesī</w:t>
      </w:r>
      <w:r w:rsidRPr="00CA640E">
        <w:t>.</w:t>
      </w:r>
    </w:p>
    <w:p w:rsidR="002402D9" w:rsidRPr="00CA640E" w:rsidRDefault="00CA640E" w:rsidP="00CA640E">
      <w:pPr>
        <w:pStyle w:val="Fait"/>
      </w:pPr>
      <w:r w:rsidRPr="00CA640E">
        <w:t>Briselē,</w:t>
      </w:r>
    </w:p>
    <w:p w:rsidR="002402D9" w:rsidRPr="00CA640E" w:rsidRDefault="002402D9" w:rsidP="002402D9">
      <w:pPr>
        <w:pStyle w:val="Institutionquisigne"/>
        <w:rPr>
          <w:color w:val="000000" w:themeColor="text1"/>
        </w:rPr>
      </w:pPr>
      <w:r w:rsidRPr="00CA640E">
        <w:tab/>
      </w:r>
      <w:r w:rsidRPr="00CA640E">
        <w:rPr>
          <w:color w:val="000000" w:themeColor="text1"/>
        </w:rPr>
        <w:t>Komisijas vārdā —</w:t>
      </w:r>
    </w:p>
    <w:p w:rsidR="002402D9" w:rsidRPr="00CA640E" w:rsidRDefault="002402D9" w:rsidP="002402D9">
      <w:pPr>
        <w:pStyle w:val="Personnequisigne"/>
      </w:pPr>
      <w:r w:rsidRPr="00CA640E">
        <w:tab/>
        <w:t>priekšsēdētāja</w:t>
      </w:r>
    </w:p>
    <w:p w:rsidR="002402D9" w:rsidRPr="00CA640E" w:rsidRDefault="002402D9" w:rsidP="00F476B5">
      <w:pPr>
        <w:pStyle w:val="Personnequisigne"/>
        <w:rPr>
          <w:color w:val="000000" w:themeColor="text1"/>
        </w:rPr>
      </w:pPr>
      <w:r w:rsidRPr="00CA640E">
        <w:tab/>
      </w:r>
      <w:r w:rsidRPr="00CA640E">
        <w:rPr>
          <w:color w:val="000000" w:themeColor="text1"/>
        </w:rPr>
        <w:t xml:space="preserve">Ursula VON DER LEYEN </w:t>
      </w:r>
    </w:p>
    <w:sectPr w:rsidR="002402D9" w:rsidRPr="00CA640E" w:rsidSect="00F1371B">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40E" w:rsidRPr="00F1371B" w:rsidRDefault="00F1371B" w:rsidP="00F1371B">
    <w:pPr>
      <w:pStyle w:val="Footer"/>
      <w:rPr>
        <w:rFonts w:ascii="Arial" w:hAnsi="Arial" w:cs="Arial"/>
        <w:b/>
        <w:sz w:val="48"/>
      </w:rPr>
    </w:pPr>
    <w:r w:rsidRPr="00F1371B">
      <w:rPr>
        <w:rFonts w:ascii="Arial" w:hAnsi="Arial" w:cs="Arial"/>
        <w:b/>
        <w:sz w:val="48"/>
      </w:rPr>
      <w:t>LV</w:t>
    </w:r>
    <w:r w:rsidRPr="00F1371B">
      <w:rPr>
        <w:rFonts w:ascii="Arial" w:hAnsi="Arial" w:cs="Arial"/>
        <w:b/>
        <w:sz w:val="48"/>
      </w:rPr>
      <w:tab/>
    </w:r>
    <w:r w:rsidRPr="00F1371B">
      <w:rPr>
        <w:rFonts w:ascii="Arial" w:hAnsi="Arial" w:cs="Arial"/>
        <w:b/>
        <w:sz w:val="48"/>
      </w:rPr>
      <w:tab/>
    </w:r>
    <w:r w:rsidRPr="00F1371B">
      <w:tab/>
    </w:r>
    <w:r w:rsidRPr="00F1371B">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1B" w:rsidRPr="00F1371B" w:rsidRDefault="00F1371B" w:rsidP="00F1371B">
    <w:pPr>
      <w:pStyle w:val="Footer"/>
      <w:rPr>
        <w:rFonts w:ascii="Arial" w:hAnsi="Arial" w:cs="Arial"/>
        <w:b/>
        <w:sz w:val="48"/>
      </w:rPr>
    </w:pPr>
    <w:r w:rsidRPr="00F1371B">
      <w:rPr>
        <w:rFonts w:ascii="Arial" w:hAnsi="Arial" w:cs="Arial"/>
        <w:b/>
        <w:sz w:val="48"/>
      </w:rPr>
      <w:t>LV</w:t>
    </w:r>
    <w:r w:rsidRPr="00F1371B">
      <w:rPr>
        <w:rFonts w:ascii="Arial" w:hAnsi="Arial" w:cs="Arial"/>
        <w:b/>
        <w:sz w:val="48"/>
      </w:rPr>
      <w:tab/>
    </w:r>
    <w:r>
      <w:fldChar w:fldCharType="begin"/>
    </w:r>
    <w:r>
      <w:instrText xml:space="preserve"> PAGE  \* MERGEFORMAT </w:instrText>
    </w:r>
    <w:r>
      <w:fldChar w:fldCharType="separate"/>
    </w:r>
    <w:r w:rsidR="009664FD">
      <w:rPr>
        <w:noProof/>
      </w:rPr>
      <w:t>1</w:t>
    </w:r>
    <w:r>
      <w:fldChar w:fldCharType="end"/>
    </w:r>
    <w:r>
      <w:tab/>
    </w:r>
    <w:r w:rsidRPr="00F1371B">
      <w:tab/>
    </w:r>
    <w:r w:rsidRPr="00F1371B">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1B" w:rsidRPr="00F1371B" w:rsidRDefault="00F1371B" w:rsidP="00F137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OV L 119, 4.5.2016., 1. lpp.</w:t>
      </w:r>
    </w:p>
  </w:footnote>
  <w:footnote w:id="2">
    <w:p w:rsidR="002402D9" w:rsidRPr="00EA7EE3" w:rsidRDefault="002402D9" w:rsidP="002402D9">
      <w:pPr>
        <w:pStyle w:val="FootnoteText"/>
        <w:ind w:left="284" w:hanging="284"/>
      </w:pPr>
      <w:r>
        <w:rPr>
          <w:rStyle w:val="FootnoteReference"/>
        </w:rPr>
        <w:footnoteRef/>
      </w:r>
      <w:r>
        <w:tab/>
        <w:t>OV L 295, 21.11.2018., 39. lpp.</w:t>
      </w:r>
    </w:p>
  </w:footnote>
  <w:footnote w:id="3">
    <w:p w:rsidR="002402D9" w:rsidRPr="003C5835" w:rsidRDefault="002402D9" w:rsidP="00EA7EE3">
      <w:pPr>
        <w:pStyle w:val="FootnoteText"/>
        <w:ind w:left="284" w:hanging="284"/>
      </w:pPr>
      <w:r>
        <w:rPr>
          <w:rStyle w:val="FootnoteReference"/>
        </w:rPr>
        <w:footnoteRef/>
      </w:r>
      <w:r>
        <w:tab/>
        <w:t>EDAU un EDAK Kopīgais atzinums 1/2021 par Eiropas Komisijas Īstenošanas lēmumu par līguma standartklauzulām starp pārziņiem un apstrādātājiem attiecībā uz jautājumiem, kas minēti Regulas (ES) 2016/679 28. panta 7. punktu un Regulas (ES) 2018/1725 29. panta 7. punktu.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1:20:1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6215DEE9-ACD4-4E47-9068-8ED98A033B7D"/>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
    <w:docVar w:name="LW_ID_DOCMODEL" w:val="SJ-032"/>
    <w:docVar w:name="LW_ID_DOCSIGNATURE" w:val="SJ-032"/>
    <w:docVar w:name="LW_ID_DOCSTRUCTURE" w:val="COM/AA"/>
    <w:docVar w:name="LW_ID_DOCTYPE" w:val="SJ-032"/>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ar l\u299?guma standartklauzul\u257?m starp p\u257?rzi\u326?iem un apstr\u257?d\u257?t\u257?jiem saska\u326?\u257? ar Eiropas Parlamenta un Padomes Regulas (ES) 2016/679 28. panta 7. punktu un Eiropas Parlamenta un Padomes Regulas (ES) 2018/1725 29. panta 7. punktu"/>
    <w:docVar w:name="LW_TYPE.DOC.CP" w:val="KOMISIJAS \u298?STENO\u352?ANAS L\u274?MUMS (ES) \u8230?/.."/>
  </w:docVars>
  <w:rsids>
    <w:rsidRoot w:val="002402D9"/>
    <w:rsid w:val="000A7517"/>
    <w:rsid w:val="000E198E"/>
    <w:rsid w:val="00135D70"/>
    <w:rsid w:val="00151F7C"/>
    <w:rsid w:val="001C2816"/>
    <w:rsid w:val="002040A1"/>
    <w:rsid w:val="0020744D"/>
    <w:rsid w:val="00232E98"/>
    <w:rsid w:val="00237340"/>
    <w:rsid w:val="002402D9"/>
    <w:rsid w:val="00252115"/>
    <w:rsid w:val="002532DA"/>
    <w:rsid w:val="00275FE2"/>
    <w:rsid w:val="002C0FB7"/>
    <w:rsid w:val="00364079"/>
    <w:rsid w:val="003A69A2"/>
    <w:rsid w:val="0048570C"/>
    <w:rsid w:val="004D6C74"/>
    <w:rsid w:val="004F2DF0"/>
    <w:rsid w:val="005951BB"/>
    <w:rsid w:val="005D6D0A"/>
    <w:rsid w:val="006E1BCC"/>
    <w:rsid w:val="0070128F"/>
    <w:rsid w:val="007C06F6"/>
    <w:rsid w:val="007D5587"/>
    <w:rsid w:val="00894AF5"/>
    <w:rsid w:val="009237D1"/>
    <w:rsid w:val="00942512"/>
    <w:rsid w:val="009664FD"/>
    <w:rsid w:val="00986B33"/>
    <w:rsid w:val="00986D45"/>
    <w:rsid w:val="00987AD5"/>
    <w:rsid w:val="009A12DF"/>
    <w:rsid w:val="009B7138"/>
    <w:rsid w:val="00AB596B"/>
    <w:rsid w:val="00B36F21"/>
    <w:rsid w:val="00BE246D"/>
    <w:rsid w:val="00BF17AA"/>
    <w:rsid w:val="00C24556"/>
    <w:rsid w:val="00CA640E"/>
    <w:rsid w:val="00CC49B0"/>
    <w:rsid w:val="00D60C6C"/>
    <w:rsid w:val="00D64D62"/>
    <w:rsid w:val="00DC435D"/>
    <w:rsid w:val="00DF46BA"/>
    <w:rsid w:val="00DF6773"/>
    <w:rsid w:val="00DF6971"/>
    <w:rsid w:val="00E37448"/>
    <w:rsid w:val="00EA7EE3"/>
    <w:rsid w:val="00ED3E3C"/>
    <w:rsid w:val="00F1371B"/>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lv-LV"/>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lv-LV"/>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2</Pages>
  <Words>1057</Words>
  <Characters>6613</Characters>
  <Application>Microsoft Office Word</Application>
  <DocSecurity>0</DocSecurity>
  <Lines>115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BEVALDE Evija (DGT)</cp:lastModifiedBy>
  <cp:revision>3</cp:revision>
  <dcterms:created xsi:type="dcterms:W3CDTF">2021-05-20T09:20:00Z</dcterms:created>
  <dcterms:modified xsi:type="dcterms:W3CDTF">2021-05-20T09:20:00Z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 Build 20190717</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